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200"/>
        <w:jc w:val="center"/>
      </w:pPr>
      <w:r>
        <w:drawing>
          <wp:inline distT="0" distB="0" distL="0" distR="0">
            <wp:extent cx="2857500" cy="9048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857500" cy="904875"/>
                    </a:xfrm>
                    <a:prstGeom prst="rect">
                      <a:avLst/>
                    </a:prstGeom>
                  </pic:spPr>
                </pic:pic>
              </a:graphicData>
            </a:graphic>
          </wp:inline>
        </w:drawing>
      </w:r>
    </w:p>
    <w:p>
      <w:pPr>
        <w:spacing w:before="0" w:after="80"/>
        <w:jc w:val="center"/>
      </w:pPr>
      <w:r>
        <w:rPr>
          <w:rFonts w:ascii="Arial" w:cs="Arial" w:eastAsia="Arial" w:hAnsi="Arial"/>
          <w:b/>
          <w:bCs/>
          <w:color w:val="1A1A1A"/>
          <w:sz w:val="40"/>
          <w:szCs w:val="40"/>
        </w:rPr>
        <w:t xml:space="preserve">Workday Quick Reference Guide</w:t>
      </w:r>
    </w:p>
    <w:p>
      <w:pPr>
        <w:spacing w:before="0" w:after="60"/>
        <w:jc w:val="center"/>
      </w:pPr>
      <w:r>
        <w:rPr>
          <w:rFonts w:ascii="Arial" w:cs="Arial" w:eastAsia="Arial" w:hAnsi="Arial"/>
          <w:b/>
          <w:bCs/>
          <w:color w:val="52B788"/>
          <w:sz w:val="26"/>
          <w:szCs w:val="26"/>
        </w:rPr>
        <w:t xml:space="preserve">5 Most Commonly Used Employee Actions</w:t>
      </w:r>
    </w:p>
    <w:p>
      <w:pPr>
        <w:spacing w:before="0" w:after="320"/>
        <w:jc w:val="center"/>
      </w:pPr>
      <w:r>
        <w:rPr>
          <w:rFonts w:ascii="Arial" w:cs="Arial" w:eastAsia="Arial" w:hAnsi="Arial"/>
          <w:i/>
          <w:iCs/>
          <w:color w:val="888888"/>
          <w:sz w:val="20"/>
          <w:szCs w:val="20"/>
        </w:rPr>
        <w:t xml:space="preserve">From HR Adventures — Your Guide to Navigating the Employment Game</w:t>
      </w:r>
    </w:p>
    <w:p>
      <w:pPr>
        <w:pBdr>
          <w:bottom w:val="single" w:color="52B788" w:sz="8" w:space="4"/>
        </w:pBdr>
        <w:spacing w:before="360" w:after="120"/>
      </w:pPr>
      <w:r>
        <w:rPr>
          <w:rFonts w:ascii="Arial" w:cs="Arial" w:eastAsia="Arial" w:hAnsi="Arial"/>
          <w:b/>
          <w:bCs/>
          <w:color w:val="2D6A4F"/>
          <w:sz w:val="28"/>
          <w:szCs w:val="28"/>
        </w:rPr>
        <w:t xml:space="preserve">About This Guide</w:t>
      </w:r>
    </w:p>
    <w:p>
      <w:pPr>
        <w:spacing w:before="100" w:after="0"/>
      </w:pPr>
      <w:r>
        <w:t xml:space="preserve"/>
      </w:r>
    </w:p>
    <w:p>
      <w:pPr>
        <w:spacing w:before="60" w:after="60"/>
      </w:pPr>
      <w:r>
        <w:rPr>
          <w:rFonts w:ascii="Arial" w:cs="Arial" w:eastAsia="Arial" w:hAnsi="Arial"/>
          <w:color w:val="1A1A1A"/>
          <w:sz w:val="22"/>
          <w:szCs w:val="22"/>
        </w:rPr>
        <w:t xml:space="preserve">At HR Adventures, we believe every employee deserves clear, no-nonsense resources to navigate the world of work. This guide covers the five Workday actions you will use most often — broken down step by step so you can get in, get it done, and get back to what matters.</w:t>
      </w:r>
    </w:p>
    <w:p>
      <w:pPr>
        <w:spacing w:before="80" w:after="0"/>
      </w:pPr>
      <w:r>
        <w:t xml:space="preserve"/>
      </w:r>
    </w:p>
    <w:p>
      <w:pPr>
        <w:spacing w:before="60" w:after="60"/>
      </w:pPr>
      <w:r>
        <w:rPr>
          <w:rFonts w:ascii="Arial" w:cs="Arial" w:eastAsia="Arial" w:hAnsi="Arial"/>
          <w:color w:val="1A1A1A"/>
          <w:sz w:val="22"/>
          <w:szCs w:val="22"/>
        </w:rPr>
        <w:t xml:space="preserve">Whether you are a brand-new hire or a seasoned employee who has never quite figured out where things live in Workday, this guide has you covered. Think of it as your in-game tutorial — except the stakes are your paycheck, your time off, and your benefits.</w:t>
      </w:r>
    </w:p>
    <w:p>
      <w:pPr>
        <w:spacing w:before="200" w:after="0"/>
      </w:pPr>
      <w:r>
        <w:t xml:space="preserve"/>
      </w:r>
    </w:p>
    <w:p>
      <w:pPr>
        <w:pBdr>
          <w:bottom w:val="single" w:color="CCCCCC" w:sz="4" w:space="1"/>
        </w:pBdr>
        <w:spacing w:before="200" w:after="200"/>
      </w:pPr>
      <w:r>
        <w:t xml:space="preserve"/>
      </w:r>
    </w:p>
    <w:p>
      <w:pPr>
        <w:spacing w:before="400" w:after="100"/>
      </w:pPr>
      <w:r>
        <w:rPr>
          <w:rFonts w:ascii="Arial" w:cs="Arial" w:eastAsia="Arial" w:hAnsi="Arial"/>
          <w:b/>
          <w:bCs/>
          <w:color w:val="52B788"/>
          <w:sz w:val="26"/>
          <w:szCs w:val="26"/>
        </w:rPr>
        <w:t xml:space="preserve">Action 1: </w:t>
      </w:r>
      <w:r>
        <w:rPr>
          <w:rFonts w:ascii="Arial" w:cs="Arial" w:eastAsia="Arial" w:hAnsi="Arial"/>
          <w:b/>
          <w:bCs/>
          <w:color w:val="1A1A1A"/>
          <w:sz w:val="26"/>
          <w:szCs w:val="26"/>
        </w:rPr>
        <w:t xml:space="preserve">Request Time Off</w:t>
      </w:r>
    </w:p>
    <w:p>
      <w:pPr>
        <w:spacing w:before="60" w:after="0"/>
      </w:pPr>
      <w:r>
        <w:t xml:space="preserve"/>
      </w:r>
    </w:p>
    <w:p>
      <w:pPr>
        <w:spacing w:before="60" w:after="60"/>
      </w:pPr>
      <w:r>
        <w:rPr>
          <w:rFonts w:ascii="Arial" w:cs="Arial" w:eastAsia="Arial" w:hAnsi="Arial"/>
          <w:color w:val="1A1A1A"/>
          <w:sz w:val="22"/>
          <w:szCs w:val="22"/>
        </w:rPr>
        <w:t xml:space="preserve">Requesting time off in Workday is one of the most frequent tasks you will complete as an employee. Whether it is a vacation, a personal day, or a sick day, Workday keeps all of your requests organized and automatically notifies your manager.</w:t>
      </w:r>
    </w:p>
    <w:p>
      <w:pPr>
        <w:spacing w:before="100" w:after="0"/>
      </w:pPr>
      <w:r>
        <w:t xml:space="preserve"/>
      </w:r>
    </w:p>
    <w:p>
      <w:pPr>
        <w:spacing w:before="160" w:after="60"/>
      </w:pPr>
      <w:r>
        <w:rPr>
          <w:rFonts w:ascii="Arial" w:cs="Arial" w:eastAsia="Arial" w:hAnsi="Arial"/>
          <w:b/>
          <w:bCs/>
          <w:color w:val="2D6A4F"/>
          <w:sz w:val="22"/>
          <w:szCs w:val="22"/>
        </w:rPr>
        <w:t xml:space="preserve">Step-by-Step Instructions:</w:t>
      </w:r>
    </w:p>
    <w:p>
      <w:pPr>
        <w:pStyle w:val="ListParagraph"/>
        <w:numPr>
          <w:ilvl w:val="0"/>
          <w:numId w:val="2"/>
        </w:numPr>
        <w:spacing w:before="60" w:after="60"/>
      </w:pPr>
      <w:r>
        <w:rPr>
          <w:rFonts w:ascii="Arial" w:cs="Arial" w:eastAsia="Arial" w:hAnsi="Arial"/>
          <w:color w:val="1A1A1A"/>
          <w:sz w:val="22"/>
          <w:szCs w:val="22"/>
        </w:rPr>
        <w:t xml:space="preserve">Log in to Workday and navigate to your home dashboard.</w:t>
      </w:r>
    </w:p>
    <w:p>
      <w:pPr>
        <w:pStyle w:val="ListParagraph"/>
        <w:numPr>
          <w:ilvl w:val="0"/>
          <w:numId w:val="2"/>
        </w:numPr>
        <w:spacing w:before="60" w:after="60"/>
      </w:pPr>
      <w:r>
        <w:rPr>
          <w:rFonts w:ascii="Arial" w:cs="Arial" w:eastAsia="Arial" w:hAnsi="Arial"/>
          <w:color w:val="1A1A1A"/>
          <w:sz w:val="22"/>
          <w:szCs w:val="22"/>
        </w:rPr>
        <w:t xml:space="preserve">Click the Time Off worklet (icon) on your home page. If you do not see it, use the search bar and type "Time Off."</w:t>
      </w:r>
    </w:p>
    <w:p>
      <w:pPr>
        <w:pStyle w:val="ListParagraph"/>
        <w:numPr>
          <w:ilvl w:val="0"/>
          <w:numId w:val="2"/>
        </w:numPr>
        <w:spacing w:before="60" w:after="60"/>
      </w:pPr>
      <w:r>
        <w:rPr>
          <w:rFonts w:ascii="Arial" w:cs="Arial" w:eastAsia="Arial" w:hAnsi="Arial"/>
          <w:color w:val="1A1A1A"/>
          <w:sz w:val="22"/>
          <w:szCs w:val="22"/>
        </w:rPr>
        <w:t xml:space="preserve">Click the Request button.</w:t>
      </w:r>
    </w:p>
    <w:p>
      <w:pPr>
        <w:pStyle w:val="ListParagraph"/>
        <w:numPr>
          <w:ilvl w:val="0"/>
          <w:numId w:val="2"/>
        </w:numPr>
        <w:spacing w:before="60" w:after="60"/>
      </w:pPr>
      <w:r>
        <w:rPr>
          <w:rFonts w:ascii="Arial" w:cs="Arial" w:eastAsia="Arial" w:hAnsi="Arial"/>
          <w:color w:val="1A1A1A"/>
          <w:sz w:val="22"/>
          <w:szCs w:val="22"/>
        </w:rPr>
        <w:t xml:space="preserve">Select the type of time off from the dropdown (e.g., Vacation, Sick, Personal).</w:t>
      </w:r>
    </w:p>
    <w:p>
      <w:pPr>
        <w:pStyle w:val="ListParagraph"/>
        <w:numPr>
          <w:ilvl w:val="0"/>
          <w:numId w:val="2"/>
        </w:numPr>
        <w:spacing w:before="60" w:after="60"/>
      </w:pPr>
      <w:r>
        <w:rPr>
          <w:rFonts w:ascii="Arial" w:cs="Arial" w:eastAsia="Arial" w:hAnsi="Arial"/>
          <w:color w:val="1A1A1A"/>
          <w:sz w:val="22"/>
          <w:szCs w:val="22"/>
        </w:rPr>
        <w:t xml:space="preserve">Click on the calendar to select your start date and end date.</w:t>
      </w:r>
    </w:p>
    <w:p>
      <w:pPr>
        <w:pStyle w:val="ListParagraph"/>
        <w:numPr>
          <w:ilvl w:val="0"/>
          <w:numId w:val="2"/>
        </w:numPr>
        <w:spacing w:before="60" w:after="60"/>
      </w:pPr>
      <w:r>
        <w:rPr>
          <w:rFonts w:ascii="Arial" w:cs="Arial" w:eastAsia="Arial" w:hAnsi="Arial"/>
          <w:color w:val="1A1A1A"/>
          <w:sz w:val="22"/>
          <w:szCs w:val="22"/>
        </w:rPr>
        <w:t xml:space="preserve">Review your daily hours if prompted and adjust as needed.</w:t>
      </w:r>
    </w:p>
    <w:p>
      <w:pPr>
        <w:pStyle w:val="ListParagraph"/>
        <w:numPr>
          <w:ilvl w:val="0"/>
          <w:numId w:val="2"/>
        </w:numPr>
        <w:spacing w:before="60" w:after="60"/>
      </w:pPr>
      <w:r>
        <w:rPr>
          <w:rFonts w:ascii="Arial" w:cs="Arial" w:eastAsia="Arial" w:hAnsi="Arial"/>
          <w:color w:val="1A1A1A"/>
          <w:sz w:val="22"/>
          <w:szCs w:val="22"/>
        </w:rPr>
        <w:t xml:space="preserve">Add an optional comment for your manager (recommended for planned absences).</w:t>
      </w:r>
    </w:p>
    <w:p>
      <w:pPr>
        <w:pStyle w:val="ListParagraph"/>
        <w:numPr>
          <w:ilvl w:val="0"/>
          <w:numId w:val="2"/>
        </w:numPr>
        <w:spacing w:before="60" w:after="60"/>
      </w:pPr>
      <w:r>
        <w:rPr>
          <w:rFonts w:ascii="Arial" w:cs="Arial" w:eastAsia="Arial" w:hAnsi="Arial"/>
          <w:color w:val="1A1A1A"/>
          <w:sz w:val="22"/>
          <w:szCs w:val="22"/>
        </w:rPr>
        <w:t xml:space="preserve">Click Submit. Your manager will receive a notification to approve or deny the request.</w:t>
      </w:r>
    </w:p>
    <w:p>
      <w:pPr>
        <w:spacing w:before="100" w:after="0"/>
      </w:pPr>
      <w:r>
        <w:t xml:space="preserve"/>
      </w:r>
    </w:p>
    <w:p>
      <w:pPr>
        <w:spacing w:before="160" w:after="60"/>
      </w:pPr>
      <w:r>
        <w:rPr>
          <w:rFonts w:ascii="Arial" w:cs="Arial" w:eastAsia="Arial" w:hAnsi="Arial"/>
          <w:b/>
          <w:bCs/>
          <w:color w:val="2D6A4F"/>
          <w:sz w:val="22"/>
          <w:szCs w:val="22"/>
        </w:rPr>
        <w:t xml:space="preserve">What to Expect After Submitting:</w:t>
      </w:r>
    </w:p>
    <w:p>
      <w:pPr>
        <w:pStyle w:val="ListParagraph"/>
        <w:numPr>
          <w:ilvl w:val="0"/>
          <w:numId w:val="3"/>
        </w:numPr>
        <w:spacing w:before="40" w:after="40"/>
      </w:pPr>
      <w:r>
        <w:rPr>
          <w:rFonts w:ascii="Arial" w:cs="Arial" w:eastAsia="Arial" w:hAnsi="Arial"/>
          <w:color w:val="1A1A1A"/>
          <w:sz w:val="22"/>
          <w:szCs w:val="22"/>
        </w:rPr>
        <w:t xml:space="preserve">You will receive a Workday notification once your manager takes action.</w:t>
      </w:r>
    </w:p>
    <w:p>
      <w:pPr>
        <w:pStyle w:val="ListParagraph"/>
        <w:numPr>
          <w:ilvl w:val="0"/>
          <w:numId w:val="3"/>
        </w:numPr>
        <w:spacing w:before="40" w:after="40"/>
      </w:pPr>
      <w:r>
        <w:rPr>
          <w:rFonts w:ascii="Arial" w:cs="Arial" w:eastAsia="Arial" w:hAnsi="Arial"/>
          <w:color w:val="1A1A1A"/>
          <w:sz w:val="22"/>
          <w:szCs w:val="22"/>
        </w:rPr>
        <w:t xml:space="preserve">Approved time will automatically reflect in your Time Off balance.</w:t>
      </w:r>
    </w:p>
    <w:p>
      <w:pPr>
        <w:pStyle w:val="ListParagraph"/>
        <w:numPr>
          <w:ilvl w:val="0"/>
          <w:numId w:val="3"/>
        </w:numPr>
        <w:spacing w:before="40" w:after="40"/>
      </w:pPr>
      <w:r>
        <w:rPr>
          <w:rFonts w:ascii="Arial" w:cs="Arial" w:eastAsia="Arial" w:hAnsi="Arial"/>
          <w:color w:val="1A1A1A"/>
          <w:sz w:val="22"/>
          <w:szCs w:val="22"/>
        </w:rPr>
        <w:t xml:space="preserve">You can view pending and approved requests under Time Off &gt; History.</w:t>
      </w:r>
    </w:p>
    <w:p>
      <w:pPr>
        <w:spacing w:before="1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52B788" w:sz="4"/>
              <w:left w:val="single" w:color="52B788" w:sz="4"/>
              <w:bottom w:val="single" w:color="52B788" w:sz="4"/>
              <w:right w:val="single" w:color="52B788" w:sz="4"/>
            </w:tcBorders>
            <w:shd w:fill="D8F3DC" w:val="clear"/>
            <w:tcMar>
              <w:top w:type="dxa" w:w="120"/>
              <w:left w:type="dxa" w:w="180"/>
              <w:bottom w:type="dxa" w:w="120"/>
              <w:right w:type="dxa" w:w="180"/>
            </w:tcMar>
          </w:tcPr>
          <w:p>
            <w:r>
              <w:rPr>
                <w:rFonts w:ascii="Arial" w:cs="Arial" w:eastAsia="Arial" w:hAnsi="Arial"/>
                <w:b/>
                <w:bCs/>
                <w:color w:val="2D6A4F"/>
                <w:sz w:val="20"/>
                <w:szCs w:val="20"/>
              </w:rPr>
              <w:t xml:space="preserve">💡 Pro Tip: </w:t>
            </w:r>
            <w:r>
              <w:rPr>
                <w:rFonts w:ascii="Arial" w:cs="Arial" w:eastAsia="Arial" w:hAnsi="Arial"/>
                <w:color w:val="1A1A1A"/>
                <w:sz w:val="20"/>
                <w:szCs w:val="20"/>
              </w:rPr>
              <w:t xml:space="preserve">Submit time-off requests as early as possible. Most teams require at least two weeks notice for planned vacation. Check your company policy for specific blackout dates or approval windows.</w:t>
            </w:r>
          </w:p>
        </w:tc>
      </w:tr>
    </w:tbl>
    <w:p>
      <w:pPr>
        <w:spacing w:before="200" w:after="0"/>
      </w:pPr>
      <w:r>
        <w:t xml:space="preserve"/>
      </w:r>
    </w:p>
    <w:p>
      <w:pPr>
        <w:pBdr>
          <w:bottom w:val="single" w:color="CCCCCC" w:sz="4" w:space="1"/>
        </w:pBdr>
        <w:spacing w:before="200" w:after="200"/>
      </w:pPr>
      <w:r>
        <w:t xml:space="preserve"/>
      </w:r>
    </w:p>
    <w:p>
      <w:pPr>
        <w:spacing w:before="400" w:after="100"/>
      </w:pPr>
      <w:r>
        <w:rPr>
          <w:rFonts w:ascii="Arial" w:cs="Arial" w:eastAsia="Arial" w:hAnsi="Arial"/>
          <w:b/>
          <w:bCs/>
          <w:color w:val="52B788"/>
          <w:sz w:val="26"/>
          <w:szCs w:val="26"/>
        </w:rPr>
        <w:t xml:space="preserve">Action 2: </w:t>
      </w:r>
      <w:r>
        <w:rPr>
          <w:rFonts w:ascii="Arial" w:cs="Arial" w:eastAsia="Arial" w:hAnsi="Arial"/>
          <w:b/>
          <w:bCs/>
          <w:color w:val="1A1A1A"/>
          <w:sz w:val="26"/>
          <w:szCs w:val="26"/>
        </w:rPr>
        <w:t xml:space="preserve">View &amp; Download Your Pay Stub</w:t>
      </w:r>
    </w:p>
    <w:p>
      <w:pPr>
        <w:spacing w:before="60" w:after="0"/>
      </w:pPr>
      <w:r>
        <w:t xml:space="preserve"/>
      </w:r>
    </w:p>
    <w:p>
      <w:pPr>
        <w:spacing w:before="60" w:after="60"/>
      </w:pPr>
      <w:r>
        <w:rPr>
          <w:rFonts w:ascii="Arial" w:cs="Arial" w:eastAsia="Arial" w:hAnsi="Arial"/>
          <w:color w:val="1A1A1A"/>
          <w:sz w:val="22"/>
          <w:szCs w:val="22"/>
        </w:rPr>
        <w:t xml:space="preserve">Your pay stub — called a Pay Slip in Workday — contains a full breakdown of your gross pay, deductions, taxes, and net pay for each pay period. Knowing how to find and read this is essential financial literacy every employee should have.</w:t>
      </w:r>
    </w:p>
    <w:p>
      <w:pPr>
        <w:spacing w:before="100" w:after="0"/>
      </w:pPr>
      <w:r>
        <w:t xml:space="preserve"/>
      </w:r>
    </w:p>
    <w:p>
      <w:pPr>
        <w:spacing w:before="160" w:after="60"/>
      </w:pPr>
      <w:r>
        <w:rPr>
          <w:rFonts w:ascii="Arial" w:cs="Arial" w:eastAsia="Arial" w:hAnsi="Arial"/>
          <w:b/>
          <w:bCs/>
          <w:color w:val="2D6A4F"/>
          <w:sz w:val="22"/>
          <w:szCs w:val="22"/>
        </w:rPr>
        <w:t xml:space="preserve">Step-by-Step Instructions:</w:t>
      </w:r>
    </w:p>
    <w:p>
      <w:pPr>
        <w:pStyle w:val="ListParagraph"/>
        <w:numPr>
          <w:ilvl w:val="0"/>
          <w:numId w:val="4"/>
        </w:numPr>
        <w:spacing w:before="60" w:after="60"/>
      </w:pPr>
      <w:r>
        <w:rPr>
          <w:rFonts w:ascii="Arial" w:cs="Arial" w:eastAsia="Arial" w:hAnsi="Arial"/>
          <w:color w:val="1A1A1A"/>
          <w:sz w:val="22"/>
          <w:szCs w:val="22"/>
        </w:rPr>
        <w:t xml:space="preserve">Log in to Workday and go to your home dashboard.</w:t>
      </w:r>
    </w:p>
    <w:p>
      <w:pPr>
        <w:pStyle w:val="ListParagraph"/>
        <w:numPr>
          <w:ilvl w:val="0"/>
          <w:numId w:val="4"/>
        </w:numPr>
        <w:spacing w:before="60" w:after="60"/>
      </w:pPr>
      <w:r>
        <w:rPr>
          <w:rFonts w:ascii="Arial" w:cs="Arial" w:eastAsia="Arial" w:hAnsi="Arial"/>
          <w:color w:val="1A1A1A"/>
          <w:sz w:val="22"/>
          <w:szCs w:val="22"/>
        </w:rPr>
        <w:t xml:space="preserve">Click the Pay worklet or search "Pay" in the search bar.</w:t>
      </w:r>
    </w:p>
    <w:p>
      <w:pPr>
        <w:pStyle w:val="ListParagraph"/>
        <w:numPr>
          <w:ilvl w:val="0"/>
          <w:numId w:val="4"/>
        </w:numPr>
        <w:spacing w:before="60" w:after="60"/>
      </w:pPr>
      <w:r>
        <w:rPr>
          <w:rFonts w:ascii="Arial" w:cs="Arial" w:eastAsia="Arial" w:hAnsi="Arial"/>
          <w:color w:val="1A1A1A"/>
          <w:sz w:val="22"/>
          <w:szCs w:val="22"/>
        </w:rPr>
        <w:t xml:space="preserve">Under the My Pay section, click Payslips (or Pay Stubs, depending on your organization's terminology).</w:t>
      </w:r>
    </w:p>
    <w:p>
      <w:pPr>
        <w:pStyle w:val="ListParagraph"/>
        <w:numPr>
          <w:ilvl w:val="0"/>
          <w:numId w:val="4"/>
        </w:numPr>
        <w:spacing w:before="60" w:after="60"/>
      </w:pPr>
      <w:r>
        <w:rPr>
          <w:rFonts w:ascii="Arial" w:cs="Arial" w:eastAsia="Arial" w:hAnsi="Arial"/>
          <w:color w:val="1A1A1A"/>
          <w:sz w:val="22"/>
          <w:szCs w:val="22"/>
        </w:rPr>
        <w:t xml:space="preserve">A list of your recent pay periods will appear. Click on any pay period to view the details.</w:t>
      </w:r>
    </w:p>
    <w:p>
      <w:pPr>
        <w:pStyle w:val="ListParagraph"/>
        <w:numPr>
          <w:ilvl w:val="0"/>
          <w:numId w:val="4"/>
        </w:numPr>
        <w:spacing w:before="60" w:after="60"/>
      </w:pPr>
      <w:r>
        <w:rPr>
          <w:rFonts w:ascii="Arial" w:cs="Arial" w:eastAsia="Arial" w:hAnsi="Arial"/>
          <w:color w:val="1A1A1A"/>
          <w:sz w:val="22"/>
          <w:szCs w:val="22"/>
        </w:rPr>
        <w:t xml:space="preserve">To download as a PDF, click the Print icon or the download button in the top right of the pay slip view.</w:t>
      </w:r>
    </w:p>
    <w:p>
      <w:pPr>
        <w:spacing w:before="100" w:after="0"/>
      </w:pPr>
      <w:r>
        <w:t xml:space="preserve"/>
      </w:r>
    </w:p>
    <w:p>
      <w:pPr>
        <w:spacing w:before="160" w:after="60"/>
      </w:pPr>
      <w:r>
        <w:rPr>
          <w:rFonts w:ascii="Arial" w:cs="Arial" w:eastAsia="Arial" w:hAnsi="Arial"/>
          <w:b/>
          <w:bCs/>
          <w:color w:val="2D6A4F"/>
          <w:sz w:val="22"/>
          <w:szCs w:val="22"/>
        </w:rPr>
        <w:t xml:space="preserve">Key Sections of Your Pay Stub:</w:t>
      </w:r>
    </w:p>
    <w:p>
      <w:pPr>
        <w:pStyle w:val="ListParagraph"/>
        <w:numPr>
          <w:ilvl w:val="0"/>
          <w:numId w:val="5"/>
        </w:numPr>
        <w:spacing w:before="40" w:after="40"/>
      </w:pPr>
      <w:r>
        <w:rPr>
          <w:rFonts w:ascii="Arial" w:cs="Arial" w:eastAsia="Arial" w:hAnsi="Arial"/>
          <w:color w:val="1A1A1A"/>
          <w:sz w:val="22"/>
          <w:szCs w:val="22"/>
        </w:rPr>
        <w:t xml:space="preserve">Earnings: Your gross pay, including base salary, overtime, and any bonuses.</w:t>
      </w:r>
    </w:p>
    <w:p>
      <w:pPr>
        <w:pStyle w:val="ListParagraph"/>
        <w:numPr>
          <w:ilvl w:val="0"/>
          <w:numId w:val="5"/>
        </w:numPr>
        <w:spacing w:before="40" w:after="40"/>
      </w:pPr>
      <w:r>
        <w:rPr>
          <w:rFonts w:ascii="Arial" w:cs="Arial" w:eastAsia="Arial" w:hAnsi="Arial"/>
          <w:color w:val="1A1A1A"/>
          <w:sz w:val="22"/>
          <w:szCs w:val="22"/>
        </w:rPr>
        <w:t xml:space="preserve">Deductions: Benefits premiums (health, dental, vision), retirement contributions, and other withholdings.</w:t>
      </w:r>
    </w:p>
    <w:p>
      <w:pPr>
        <w:pStyle w:val="ListParagraph"/>
        <w:numPr>
          <w:ilvl w:val="0"/>
          <w:numId w:val="5"/>
        </w:numPr>
        <w:spacing w:before="40" w:after="40"/>
      </w:pPr>
      <w:r>
        <w:rPr>
          <w:rFonts w:ascii="Arial" w:cs="Arial" w:eastAsia="Arial" w:hAnsi="Arial"/>
          <w:color w:val="1A1A1A"/>
          <w:sz w:val="22"/>
          <w:szCs w:val="22"/>
        </w:rPr>
        <w:t xml:space="preserve">Taxes: Federal, state, and local tax withholdings.</w:t>
      </w:r>
    </w:p>
    <w:p>
      <w:pPr>
        <w:pStyle w:val="ListParagraph"/>
        <w:numPr>
          <w:ilvl w:val="0"/>
          <w:numId w:val="5"/>
        </w:numPr>
        <w:spacing w:before="40" w:after="40"/>
      </w:pPr>
      <w:r>
        <w:rPr>
          <w:rFonts w:ascii="Arial" w:cs="Arial" w:eastAsia="Arial" w:hAnsi="Arial"/>
          <w:color w:val="1A1A1A"/>
          <w:sz w:val="22"/>
          <w:szCs w:val="22"/>
        </w:rPr>
        <w:t xml:space="preserve">Net Pay: The actual amount deposited into your bank account.</w:t>
      </w:r>
    </w:p>
    <w:p>
      <w:pPr>
        <w:spacing w:before="1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52B788" w:sz="4"/>
              <w:left w:val="single" w:color="52B788" w:sz="4"/>
              <w:bottom w:val="single" w:color="52B788" w:sz="4"/>
              <w:right w:val="single" w:color="52B788" w:sz="4"/>
            </w:tcBorders>
            <w:shd w:fill="D8F3DC" w:val="clear"/>
            <w:tcMar>
              <w:top w:type="dxa" w:w="120"/>
              <w:left w:type="dxa" w:w="180"/>
              <w:bottom w:type="dxa" w:w="120"/>
              <w:right w:type="dxa" w:w="180"/>
            </w:tcMar>
          </w:tcPr>
          <w:p>
            <w:r>
              <w:rPr>
                <w:rFonts w:ascii="Arial" w:cs="Arial" w:eastAsia="Arial" w:hAnsi="Arial"/>
                <w:b/>
                <w:bCs/>
                <w:color w:val="2D6A4F"/>
                <w:sz w:val="20"/>
                <w:szCs w:val="20"/>
              </w:rPr>
              <w:t xml:space="preserve">💡 Pro Tip: </w:t>
            </w:r>
            <w:r>
              <w:rPr>
                <w:rFonts w:ascii="Arial" w:cs="Arial" w:eastAsia="Arial" w:hAnsi="Arial"/>
                <w:color w:val="1A1A1A"/>
                <w:sz w:val="20"/>
                <w:szCs w:val="20"/>
              </w:rPr>
              <w:t xml:space="preserve">If your net pay looks different than expected, compare your current pay stub to the previous one side-by-side. Common culprits include benefit deduction changes, tax adjustments, or missed punches for hourly employees.</w:t>
            </w:r>
          </w:p>
        </w:tc>
      </w:tr>
    </w:tbl>
    <w:p>
      <w:pPr>
        <w:spacing w:before="200" w:after="0"/>
      </w:pPr>
      <w:r>
        <w:t xml:space="preserve"/>
      </w:r>
    </w:p>
    <w:p>
      <w:pPr>
        <w:pBdr>
          <w:bottom w:val="single" w:color="CCCCCC" w:sz="4" w:space="1"/>
        </w:pBdr>
        <w:spacing w:before="200" w:after="200"/>
      </w:pPr>
      <w:r>
        <w:t xml:space="preserve"/>
      </w:r>
    </w:p>
    <w:p>
      <w:pPr>
        <w:spacing w:before="400" w:after="100"/>
      </w:pPr>
      <w:r>
        <w:rPr>
          <w:rFonts w:ascii="Arial" w:cs="Arial" w:eastAsia="Arial" w:hAnsi="Arial"/>
          <w:b/>
          <w:bCs/>
          <w:color w:val="52B788"/>
          <w:sz w:val="26"/>
          <w:szCs w:val="26"/>
        </w:rPr>
        <w:t xml:space="preserve">Action 3: </w:t>
      </w:r>
      <w:r>
        <w:rPr>
          <w:rFonts w:ascii="Arial" w:cs="Arial" w:eastAsia="Arial" w:hAnsi="Arial"/>
          <w:b/>
          <w:bCs/>
          <w:color w:val="1A1A1A"/>
          <w:sz w:val="26"/>
          <w:szCs w:val="26"/>
        </w:rPr>
        <w:t xml:space="preserve">Update Personal Information</w:t>
      </w:r>
    </w:p>
    <w:p>
      <w:pPr>
        <w:spacing w:before="60" w:after="0"/>
      </w:pPr>
      <w:r>
        <w:t xml:space="preserve"/>
      </w:r>
    </w:p>
    <w:p>
      <w:pPr>
        <w:spacing w:before="60" w:after="60"/>
      </w:pPr>
      <w:r>
        <w:rPr>
          <w:rFonts w:ascii="Arial" w:cs="Arial" w:eastAsia="Arial" w:hAnsi="Arial"/>
          <w:color w:val="1A1A1A"/>
          <w:sz w:val="22"/>
          <w:szCs w:val="22"/>
        </w:rPr>
        <w:t xml:space="preserve">Life changes — and your employer needs your information to stay current. Updating your address, phone number, emergency contacts, or legal name in Workday ensures your records are accurate for payroll, benefits, and compliance purposes.</w:t>
      </w:r>
    </w:p>
    <w:p>
      <w:pPr>
        <w:spacing w:before="100" w:after="0"/>
      </w:pPr>
      <w:r>
        <w:t xml:space="preserve"/>
      </w:r>
    </w:p>
    <w:p>
      <w:pPr>
        <w:spacing w:before="160" w:after="60"/>
      </w:pPr>
      <w:r>
        <w:rPr>
          <w:rFonts w:ascii="Arial" w:cs="Arial" w:eastAsia="Arial" w:hAnsi="Arial"/>
          <w:b/>
          <w:bCs/>
          <w:color w:val="2D6A4F"/>
          <w:sz w:val="22"/>
          <w:szCs w:val="22"/>
        </w:rPr>
        <w:t xml:space="preserve">Step-by-Step Instructions:</w:t>
      </w:r>
    </w:p>
    <w:p>
      <w:pPr>
        <w:pStyle w:val="ListParagraph"/>
        <w:numPr>
          <w:ilvl w:val="0"/>
          <w:numId w:val="6"/>
        </w:numPr>
        <w:spacing w:before="60" w:after="60"/>
      </w:pPr>
      <w:r>
        <w:rPr>
          <w:rFonts w:ascii="Arial" w:cs="Arial" w:eastAsia="Arial" w:hAnsi="Arial"/>
          <w:color w:val="1A1A1A"/>
          <w:sz w:val="22"/>
          <w:szCs w:val="22"/>
        </w:rPr>
        <w:t xml:space="preserve">Log in to Workday and click your profile picture or name in the top right corner.</w:t>
      </w:r>
    </w:p>
    <w:p>
      <w:pPr>
        <w:pStyle w:val="ListParagraph"/>
        <w:numPr>
          <w:ilvl w:val="0"/>
          <w:numId w:val="6"/>
        </w:numPr>
        <w:spacing w:before="60" w:after="60"/>
      </w:pPr>
      <w:r>
        <w:rPr>
          <w:rFonts w:ascii="Arial" w:cs="Arial" w:eastAsia="Arial" w:hAnsi="Arial"/>
          <w:color w:val="1A1A1A"/>
          <w:sz w:val="22"/>
          <w:szCs w:val="22"/>
        </w:rPr>
        <w:t xml:space="preserve">Select View Profile from the dropdown menu.</w:t>
      </w:r>
    </w:p>
    <w:p>
      <w:pPr>
        <w:pStyle w:val="ListParagraph"/>
        <w:numPr>
          <w:ilvl w:val="0"/>
          <w:numId w:val="6"/>
        </w:numPr>
        <w:spacing w:before="60" w:after="60"/>
      </w:pPr>
      <w:r>
        <w:rPr>
          <w:rFonts w:ascii="Arial" w:cs="Arial" w:eastAsia="Arial" w:hAnsi="Arial"/>
          <w:color w:val="1A1A1A"/>
          <w:sz w:val="22"/>
          <w:szCs w:val="22"/>
        </w:rPr>
        <w:t xml:space="preserve">Click the Personal tab to access your personal details.</w:t>
      </w:r>
    </w:p>
    <w:p>
      <w:pPr>
        <w:pStyle w:val="ListParagraph"/>
        <w:numPr>
          <w:ilvl w:val="0"/>
          <w:numId w:val="6"/>
        </w:numPr>
        <w:spacing w:before="60" w:after="60"/>
      </w:pPr>
      <w:r>
        <w:rPr>
          <w:rFonts w:ascii="Arial" w:cs="Arial" w:eastAsia="Arial" w:hAnsi="Arial"/>
          <w:color w:val="1A1A1A"/>
          <w:sz w:val="22"/>
          <w:szCs w:val="22"/>
        </w:rPr>
        <w:t xml:space="preserve">To update your contact information, click the Contact tab and then click the Edit (pencil) icon next to the section you want to update.</w:t>
      </w:r>
    </w:p>
    <w:p>
      <w:pPr>
        <w:pStyle w:val="ListParagraph"/>
        <w:numPr>
          <w:ilvl w:val="0"/>
          <w:numId w:val="6"/>
        </w:numPr>
        <w:spacing w:before="60" w:after="60"/>
      </w:pPr>
      <w:r>
        <w:rPr>
          <w:rFonts w:ascii="Arial" w:cs="Arial" w:eastAsia="Arial" w:hAnsi="Arial"/>
          <w:color w:val="1A1A1A"/>
          <w:sz w:val="22"/>
          <w:szCs w:val="22"/>
        </w:rPr>
        <w:t xml:space="preserve">Make your changes and click Save.</w:t>
      </w:r>
    </w:p>
    <w:p>
      <w:pPr>
        <w:pStyle w:val="ListParagraph"/>
        <w:numPr>
          <w:ilvl w:val="0"/>
          <w:numId w:val="6"/>
        </w:numPr>
        <w:spacing w:before="60" w:after="60"/>
      </w:pPr>
      <w:r>
        <w:rPr>
          <w:rFonts w:ascii="Arial" w:cs="Arial" w:eastAsia="Arial" w:hAnsi="Arial"/>
          <w:color w:val="1A1A1A"/>
          <w:sz w:val="22"/>
          <w:szCs w:val="22"/>
        </w:rPr>
        <w:t xml:space="preserve">For legal name changes, navigate to Personal &gt; Legal Name and click Edit. Some organizations require supporting documentation — check with HR.</w:t>
      </w:r>
    </w:p>
    <w:p>
      <w:pPr>
        <w:pStyle w:val="ListParagraph"/>
        <w:numPr>
          <w:ilvl w:val="0"/>
          <w:numId w:val="6"/>
        </w:numPr>
        <w:spacing w:before="60" w:after="60"/>
      </w:pPr>
      <w:r>
        <w:rPr>
          <w:rFonts w:ascii="Arial" w:cs="Arial" w:eastAsia="Arial" w:hAnsi="Arial"/>
          <w:color w:val="1A1A1A"/>
          <w:sz w:val="22"/>
          <w:szCs w:val="22"/>
        </w:rPr>
        <w:t xml:space="preserve">To update emergency contacts, select the Emergency Contacts tab and add or edit accordingly.</w:t>
      </w:r>
    </w:p>
    <w:p>
      <w:pPr>
        <w:spacing w:before="100" w:after="0"/>
      </w:pPr>
      <w:r>
        <w:t xml:space="preserve"/>
      </w:r>
    </w:p>
    <w:p>
      <w:pPr>
        <w:spacing w:before="160" w:after="60"/>
      </w:pPr>
      <w:r>
        <w:rPr>
          <w:rFonts w:ascii="Arial" w:cs="Arial" w:eastAsia="Arial" w:hAnsi="Arial"/>
          <w:b/>
          <w:bCs/>
          <w:color w:val="2D6A4F"/>
          <w:sz w:val="22"/>
          <w:szCs w:val="22"/>
        </w:rPr>
        <w:t xml:space="preserve">Common Updates Employees Should Check Regularly:</w:t>
      </w:r>
    </w:p>
    <w:p>
      <w:pPr>
        <w:pStyle w:val="ListParagraph"/>
        <w:numPr>
          <w:ilvl w:val="0"/>
          <w:numId w:val="7"/>
        </w:numPr>
        <w:spacing w:before="40" w:after="40"/>
      </w:pPr>
      <w:r>
        <w:rPr>
          <w:rFonts w:ascii="Arial" w:cs="Arial" w:eastAsia="Arial" w:hAnsi="Arial"/>
          <w:color w:val="1A1A1A"/>
          <w:sz w:val="22"/>
          <w:szCs w:val="22"/>
        </w:rPr>
        <w:t xml:space="preserve">Home address (critical for W-2 mailing and state tax purposes)</w:t>
      </w:r>
    </w:p>
    <w:p>
      <w:pPr>
        <w:pStyle w:val="ListParagraph"/>
        <w:numPr>
          <w:ilvl w:val="0"/>
          <w:numId w:val="7"/>
        </w:numPr>
        <w:spacing w:before="40" w:after="40"/>
      </w:pPr>
      <w:r>
        <w:rPr>
          <w:rFonts w:ascii="Arial" w:cs="Arial" w:eastAsia="Arial" w:hAnsi="Arial"/>
          <w:color w:val="1A1A1A"/>
          <w:sz w:val="22"/>
          <w:szCs w:val="22"/>
        </w:rPr>
        <w:t xml:space="preserve">Personal email address and phone number</w:t>
      </w:r>
    </w:p>
    <w:p>
      <w:pPr>
        <w:pStyle w:val="ListParagraph"/>
        <w:numPr>
          <w:ilvl w:val="0"/>
          <w:numId w:val="7"/>
        </w:numPr>
        <w:spacing w:before="40" w:after="40"/>
      </w:pPr>
      <w:r>
        <w:rPr>
          <w:rFonts w:ascii="Arial" w:cs="Arial" w:eastAsia="Arial" w:hAnsi="Arial"/>
          <w:color w:val="1A1A1A"/>
          <w:sz w:val="22"/>
          <w:szCs w:val="22"/>
        </w:rPr>
        <w:t xml:space="preserve">Emergency contact names and phone numbers</w:t>
      </w:r>
    </w:p>
    <w:p>
      <w:pPr>
        <w:pStyle w:val="ListParagraph"/>
        <w:numPr>
          <w:ilvl w:val="0"/>
          <w:numId w:val="7"/>
        </w:numPr>
        <w:spacing w:before="40" w:after="40"/>
      </w:pPr>
      <w:r>
        <w:rPr>
          <w:rFonts w:ascii="Arial" w:cs="Arial" w:eastAsia="Arial" w:hAnsi="Arial"/>
          <w:color w:val="1A1A1A"/>
          <w:sz w:val="22"/>
          <w:szCs w:val="22"/>
        </w:rPr>
        <w:t xml:space="preserve">Preferred name (if your organization supports it)</w:t>
      </w:r>
    </w:p>
    <w:p>
      <w:pPr>
        <w:spacing w:before="1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52B788" w:sz="4"/>
              <w:left w:val="single" w:color="52B788" w:sz="4"/>
              <w:bottom w:val="single" w:color="52B788" w:sz="4"/>
              <w:right w:val="single" w:color="52B788" w:sz="4"/>
            </w:tcBorders>
            <w:shd w:fill="D8F3DC" w:val="clear"/>
            <w:tcMar>
              <w:top w:type="dxa" w:w="120"/>
              <w:left w:type="dxa" w:w="180"/>
              <w:bottom w:type="dxa" w:w="120"/>
              <w:right w:type="dxa" w:w="180"/>
            </w:tcMar>
          </w:tcPr>
          <w:p>
            <w:r>
              <w:rPr>
                <w:rFonts w:ascii="Arial" w:cs="Arial" w:eastAsia="Arial" w:hAnsi="Arial"/>
                <w:b/>
                <w:bCs/>
                <w:color w:val="2D6A4F"/>
                <w:sz w:val="20"/>
                <w:szCs w:val="20"/>
              </w:rPr>
              <w:t xml:space="preserve">💡 Pro Tip: </w:t>
            </w:r>
            <w:r>
              <w:rPr>
                <w:rFonts w:ascii="Arial" w:cs="Arial" w:eastAsia="Arial" w:hAnsi="Arial"/>
                <w:color w:val="1A1A1A"/>
                <w:sz w:val="20"/>
                <w:szCs w:val="20"/>
              </w:rPr>
              <w:t xml:space="preserve">Always update your address in Workday when you move — even if it feels minor. State tax withholding is tied to your home address, and an outdated address can cause tax filing headaches at year end.</w:t>
            </w:r>
          </w:p>
        </w:tc>
      </w:tr>
    </w:tbl>
    <w:p>
      <w:pPr>
        <w:spacing w:before="200" w:after="0"/>
      </w:pPr>
      <w:r>
        <w:t xml:space="preserve"/>
      </w:r>
    </w:p>
    <w:p>
      <w:pPr>
        <w:pBdr>
          <w:bottom w:val="single" w:color="CCCCCC" w:sz="4" w:space="1"/>
        </w:pBdr>
        <w:spacing w:before="200" w:after="200"/>
      </w:pPr>
      <w:r>
        <w:t xml:space="preserve"/>
      </w:r>
    </w:p>
    <w:p>
      <w:pPr>
        <w:spacing w:before="400" w:after="100"/>
      </w:pPr>
      <w:r>
        <w:rPr>
          <w:rFonts w:ascii="Arial" w:cs="Arial" w:eastAsia="Arial" w:hAnsi="Arial"/>
          <w:b/>
          <w:bCs/>
          <w:color w:val="52B788"/>
          <w:sz w:val="26"/>
          <w:szCs w:val="26"/>
        </w:rPr>
        <w:t xml:space="preserve">Action 4: </w:t>
      </w:r>
      <w:r>
        <w:rPr>
          <w:rFonts w:ascii="Arial" w:cs="Arial" w:eastAsia="Arial" w:hAnsi="Arial"/>
          <w:b/>
          <w:bCs/>
          <w:color w:val="1A1A1A"/>
          <w:sz w:val="26"/>
          <w:szCs w:val="26"/>
        </w:rPr>
        <w:t xml:space="preserve">Set Up or Update Direct Deposit</w:t>
      </w:r>
    </w:p>
    <w:p>
      <w:pPr>
        <w:spacing w:before="60" w:after="0"/>
      </w:pPr>
      <w:r>
        <w:t xml:space="preserve"/>
      </w:r>
    </w:p>
    <w:p>
      <w:pPr>
        <w:spacing w:before="60" w:after="60"/>
      </w:pPr>
      <w:r>
        <w:rPr>
          <w:rFonts w:ascii="Arial" w:cs="Arial" w:eastAsia="Arial" w:hAnsi="Arial"/>
          <w:color w:val="1A1A1A"/>
          <w:sz w:val="22"/>
          <w:szCs w:val="22"/>
        </w:rPr>
        <w:t xml:space="preserve">Direct deposit is how you get paid — so knowing how to set it up or update it in Workday is non-negotiable. You can split your paycheck across multiple accounts or route it all to one. Changes typically take one to two pay cycles to go into effect.</w:t>
      </w:r>
    </w:p>
    <w:p>
      <w:pPr>
        <w:spacing w:before="100" w:after="0"/>
      </w:pPr>
      <w:r>
        <w:t xml:space="preserve"/>
      </w:r>
    </w:p>
    <w:p>
      <w:pPr>
        <w:spacing w:before="160" w:after="60"/>
      </w:pPr>
      <w:r>
        <w:rPr>
          <w:rFonts w:ascii="Arial" w:cs="Arial" w:eastAsia="Arial" w:hAnsi="Arial"/>
          <w:b/>
          <w:bCs/>
          <w:color w:val="2D6A4F"/>
          <w:sz w:val="22"/>
          <w:szCs w:val="22"/>
        </w:rPr>
        <w:t xml:space="preserve">Step-by-Step Instructions:</w:t>
      </w:r>
    </w:p>
    <w:p>
      <w:pPr>
        <w:pStyle w:val="ListParagraph"/>
        <w:numPr>
          <w:ilvl w:val="0"/>
          <w:numId w:val="8"/>
        </w:numPr>
        <w:spacing w:before="60" w:after="60"/>
      </w:pPr>
      <w:r>
        <w:rPr>
          <w:rFonts w:ascii="Arial" w:cs="Arial" w:eastAsia="Arial" w:hAnsi="Arial"/>
          <w:color w:val="1A1A1A"/>
          <w:sz w:val="22"/>
          <w:szCs w:val="22"/>
        </w:rPr>
        <w:t xml:space="preserve">Log in to Workday and click the Pay worklet or search "Pay."</w:t>
      </w:r>
    </w:p>
    <w:p>
      <w:pPr>
        <w:pStyle w:val="ListParagraph"/>
        <w:numPr>
          <w:ilvl w:val="0"/>
          <w:numId w:val="8"/>
        </w:numPr>
        <w:spacing w:before="60" w:after="60"/>
      </w:pPr>
      <w:r>
        <w:rPr>
          <w:rFonts w:ascii="Arial" w:cs="Arial" w:eastAsia="Arial" w:hAnsi="Arial"/>
          <w:color w:val="1A1A1A"/>
          <w:sz w:val="22"/>
          <w:szCs w:val="22"/>
        </w:rPr>
        <w:t xml:space="preserve">Click Payment Elections (this is Workday's term for direct deposit settings).</w:t>
      </w:r>
    </w:p>
    <w:p>
      <w:pPr>
        <w:pStyle w:val="ListParagraph"/>
        <w:numPr>
          <w:ilvl w:val="0"/>
          <w:numId w:val="8"/>
        </w:numPr>
        <w:spacing w:before="60" w:after="60"/>
      </w:pPr>
      <w:r>
        <w:rPr>
          <w:rFonts w:ascii="Arial" w:cs="Arial" w:eastAsia="Arial" w:hAnsi="Arial"/>
          <w:color w:val="1A1A1A"/>
          <w:sz w:val="22"/>
          <w:szCs w:val="22"/>
        </w:rPr>
        <w:t xml:space="preserve">Click Add to set up a new bank account, or click on an existing account to edit it.</w:t>
      </w:r>
    </w:p>
    <w:p>
      <w:pPr>
        <w:pStyle w:val="ListParagraph"/>
        <w:numPr>
          <w:ilvl w:val="0"/>
          <w:numId w:val="8"/>
        </w:numPr>
        <w:spacing w:before="60" w:after="60"/>
      </w:pPr>
      <w:r>
        <w:rPr>
          <w:rFonts w:ascii="Arial" w:cs="Arial" w:eastAsia="Arial" w:hAnsi="Arial"/>
          <w:color w:val="1A1A1A"/>
          <w:sz w:val="22"/>
          <w:szCs w:val="22"/>
        </w:rPr>
        <w:t xml:space="preserve">Enter your bank's routing number and your account number.</w:t>
      </w:r>
    </w:p>
    <w:p>
      <w:pPr>
        <w:pStyle w:val="ListParagraph"/>
        <w:numPr>
          <w:ilvl w:val="0"/>
          <w:numId w:val="8"/>
        </w:numPr>
        <w:spacing w:before="60" w:after="60"/>
      </w:pPr>
      <w:r>
        <w:rPr>
          <w:rFonts w:ascii="Arial" w:cs="Arial" w:eastAsia="Arial" w:hAnsi="Arial"/>
          <w:color w:val="1A1A1A"/>
          <w:sz w:val="22"/>
          <w:szCs w:val="22"/>
        </w:rPr>
        <w:t xml:space="preserve">Select whether the account is Checking or Savings.</w:t>
      </w:r>
    </w:p>
    <w:p>
      <w:pPr>
        <w:pStyle w:val="ListParagraph"/>
        <w:numPr>
          <w:ilvl w:val="0"/>
          <w:numId w:val="8"/>
        </w:numPr>
        <w:spacing w:before="60" w:after="60"/>
      </w:pPr>
      <w:r>
        <w:rPr>
          <w:rFonts w:ascii="Arial" w:cs="Arial" w:eastAsia="Arial" w:hAnsi="Arial"/>
          <w:color w:val="1A1A1A"/>
          <w:sz w:val="22"/>
          <w:szCs w:val="22"/>
        </w:rPr>
        <w:t xml:space="preserve">Choose how you want your pay distributed: a flat dollar amount, a percentage, or the full remaining balance.</w:t>
      </w:r>
    </w:p>
    <w:p>
      <w:pPr>
        <w:pStyle w:val="ListParagraph"/>
        <w:numPr>
          <w:ilvl w:val="0"/>
          <w:numId w:val="8"/>
        </w:numPr>
        <w:spacing w:before="60" w:after="60"/>
      </w:pPr>
      <w:r>
        <w:rPr>
          <w:rFonts w:ascii="Arial" w:cs="Arial" w:eastAsia="Arial" w:hAnsi="Arial"/>
          <w:color w:val="1A1A1A"/>
          <w:sz w:val="22"/>
          <w:szCs w:val="22"/>
        </w:rPr>
        <w:t xml:space="preserve">If using multiple accounts, ensure the allocations add up to 100% of your paycheck.</w:t>
      </w:r>
    </w:p>
    <w:p>
      <w:pPr>
        <w:pStyle w:val="ListParagraph"/>
        <w:numPr>
          <w:ilvl w:val="0"/>
          <w:numId w:val="8"/>
        </w:numPr>
        <w:spacing w:before="60" w:after="60"/>
      </w:pPr>
      <w:r>
        <w:rPr>
          <w:rFonts w:ascii="Arial" w:cs="Arial" w:eastAsia="Arial" w:hAnsi="Arial"/>
          <w:color w:val="1A1A1A"/>
          <w:sz w:val="22"/>
          <w:szCs w:val="22"/>
        </w:rPr>
        <w:t xml:space="preserve">Click Save or OK to submit the changes.</w:t>
      </w:r>
    </w:p>
    <w:p>
      <w:pPr>
        <w:spacing w:before="100" w:after="0"/>
      </w:pPr>
      <w:r>
        <w:t xml:space="preserve"/>
      </w:r>
    </w:p>
    <w:p>
      <w:pPr>
        <w:spacing w:before="160" w:after="60"/>
      </w:pPr>
      <w:r>
        <w:rPr>
          <w:rFonts w:ascii="Arial" w:cs="Arial" w:eastAsia="Arial" w:hAnsi="Arial"/>
          <w:b/>
          <w:bCs/>
          <w:color w:val="2D6A4F"/>
          <w:sz w:val="22"/>
          <w:szCs w:val="22"/>
        </w:rPr>
        <w:t xml:space="preserve">Important Notes:</w:t>
      </w:r>
    </w:p>
    <w:p>
      <w:pPr>
        <w:pStyle w:val="ListParagraph"/>
        <w:numPr>
          <w:ilvl w:val="0"/>
          <w:numId w:val="9"/>
        </w:numPr>
        <w:spacing w:before="40" w:after="40"/>
      </w:pPr>
      <w:r>
        <w:rPr>
          <w:rFonts w:ascii="Arial" w:cs="Arial" w:eastAsia="Arial" w:hAnsi="Arial"/>
          <w:color w:val="1A1A1A"/>
          <w:sz w:val="22"/>
          <w:szCs w:val="22"/>
        </w:rPr>
        <w:t xml:space="preserve">Changes typically take 1-2 pay cycles to take effect — plan accordingly.</w:t>
      </w:r>
    </w:p>
    <w:p>
      <w:pPr>
        <w:pStyle w:val="ListParagraph"/>
        <w:numPr>
          <w:ilvl w:val="0"/>
          <w:numId w:val="9"/>
        </w:numPr>
        <w:spacing w:before="40" w:after="40"/>
      </w:pPr>
      <w:r>
        <w:rPr>
          <w:rFonts w:ascii="Arial" w:cs="Arial" w:eastAsia="Arial" w:hAnsi="Arial"/>
          <w:color w:val="1A1A1A"/>
          <w:sz w:val="22"/>
          <w:szCs w:val="22"/>
        </w:rPr>
        <w:t xml:space="preserve">Routing and account numbers can be found on a check or through your bank's app.</w:t>
      </w:r>
    </w:p>
    <w:p>
      <w:pPr>
        <w:pStyle w:val="ListParagraph"/>
        <w:numPr>
          <w:ilvl w:val="0"/>
          <w:numId w:val="9"/>
        </w:numPr>
        <w:spacing w:before="40" w:after="40"/>
      </w:pPr>
      <w:r>
        <w:rPr>
          <w:rFonts w:ascii="Arial" w:cs="Arial" w:eastAsia="Arial" w:hAnsi="Arial"/>
          <w:color w:val="1A1A1A"/>
          <w:sz w:val="22"/>
          <w:szCs w:val="22"/>
        </w:rPr>
        <w:t xml:space="preserve">Double-check all numbers before saving — incorrect entries can delay your paycheck.</w:t>
      </w:r>
    </w:p>
    <w:p>
      <w:pPr>
        <w:spacing w:before="1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52B788" w:sz="4"/>
              <w:left w:val="single" w:color="52B788" w:sz="4"/>
              <w:bottom w:val="single" w:color="52B788" w:sz="4"/>
              <w:right w:val="single" w:color="52B788" w:sz="4"/>
            </w:tcBorders>
            <w:shd w:fill="D8F3DC" w:val="clear"/>
            <w:tcMar>
              <w:top w:type="dxa" w:w="120"/>
              <w:left w:type="dxa" w:w="180"/>
              <w:bottom w:type="dxa" w:w="120"/>
              <w:right w:type="dxa" w:w="180"/>
            </w:tcMar>
          </w:tcPr>
          <w:p>
            <w:r>
              <w:rPr>
                <w:rFonts w:ascii="Arial" w:cs="Arial" w:eastAsia="Arial" w:hAnsi="Arial"/>
                <w:b/>
                <w:bCs/>
                <w:color w:val="2D6A4F"/>
                <w:sz w:val="20"/>
                <w:szCs w:val="20"/>
              </w:rPr>
              <w:t xml:space="preserve">💡 Pro Tip: </w:t>
            </w:r>
            <w:r>
              <w:rPr>
                <w:rFonts w:ascii="Arial" w:cs="Arial" w:eastAsia="Arial" w:hAnsi="Arial"/>
                <w:color w:val="1A1A1A"/>
                <w:sz w:val="20"/>
                <w:szCs w:val="20"/>
              </w:rPr>
              <w:t xml:space="preserve">Consider splitting your direct deposit between a checking account (for bills) and a savings account (a set amount each paycheck). It is one of the easiest ways to automate saving without thinking about it.</w:t>
            </w:r>
          </w:p>
        </w:tc>
      </w:tr>
    </w:tbl>
    <w:p>
      <w:pPr>
        <w:spacing w:before="200" w:after="0"/>
      </w:pPr>
      <w:r>
        <w:t xml:space="preserve"/>
      </w:r>
    </w:p>
    <w:p>
      <w:pPr>
        <w:pBdr>
          <w:bottom w:val="single" w:color="CCCCCC" w:sz="4" w:space="1"/>
        </w:pBdr>
        <w:spacing w:before="200" w:after="200"/>
      </w:pPr>
      <w:r>
        <w:t xml:space="preserve"/>
      </w:r>
    </w:p>
    <w:p>
      <w:pPr>
        <w:spacing w:before="400" w:after="100"/>
      </w:pPr>
      <w:r>
        <w:rPr>
          <w:rFonts w:ascii="Arial" w:cs="Arial" w:eastAsia="Arial" w:hAnsi="Arial"/>
          <w:b/>
          <w:bCs/>
          <w:color w:val="52B788"/>
          <w:sz w:val="26"/>
          <w:szCs w:val="26"/>
        </w:rPr>
        <w:t xml:space="preserve">Action 5: </w:t>
      </w:r>
      <w:r>
        <w:rPr>
          <w:rFonts w:ascii="Arial" w:cs="Arial" w:eastAsia="Arial" w:hAnsi="Arial"/>
          <w:b/>
          <w:bCs/>
          <w:color w:val="1A1A1A"/>
          <w:sz w:val="26"/>
          <w:szCs w:val="26"/>
        </w:rPr>
        <w:t xml:space="preserve">View &amp; Update Benefits Elections</w:t>
      </w:r>
    </w:p>
    <w:p>
      <w:pPr>
        <w:spacing w:before="60" w:after="0"/>
      </w:pPr>
      <w:r>
        <w:t xml:space="preserve"/>
      </w:r>
    </w:p>
    <w:p>
      <w:pPr>
        <w:spacing w:before="60" w:after="60"/>
      </w:pPr>
      <w:r>
        <w:rPr>
          <w:rFonts w:ascii="Arial" w:cs="Arial" w:eastAsia="Arial" w:hAnsi="Arial"/>
          <w:color w:val="1A1A1A"/>
          <w:sz w:val="22"/>
          <w:szCs w:val="22"/>
        </w:rPr>
        <w:t xml:space="preserve">Your benefits are a significant part of your total compensation — and Workday is where you manage them. Whether it is Open Enrollment, a qualifying life event (marriage, new child, job change), or simply reviewing what you are enrolled in, this action is one you need to know.</w:t>
      </w:r>
    </w:p>
    <w:p>
      <w:pPr>
        <w:spacing w:before="100" w:after="0"/>
      </w:pPr>
      <w:r>
        <w:t xml:space="preserve"/>
      </w:r>
    </w:p>
    <w:p>
      <w:pPr>
        <w:spacing w:before="160" w:after="60"/>
      </w:pPr>
      <w:r>
        <w:rPr>
          <w:rFonts w:ascii="Arial" w:cs="Arial" w:eastAsia="Arial" w:hAnsi="Arial"/>
          <w:b/>
          <w:bCs/>
          <w:color w:val="2D6A4F"/>
          <w:sz w:val="22"/>
          <w:szCs w:val="22"/>
        </w:rPr>
        <w:t xml:space="preserve">Step-by-Step Instructions:</w:t>
      </w:r>
    </w:p>
    <w:p>
      <w:pPr>
        <w:pStyle w:val="ListParagraph"/>
        <w:numPr>
          <w:ilvl w:val="0"/>
          <w:numId w:val="10"/>
        </w:numPr>
        <w:spacing w:before="60" w:after="60"/>
      </w:pPr>
      <w:r>
        <w:rPr>
          <w:rFonts w:ascii="Arial" w:cs="Arial" w:eastAsia="Arial" w:hAnsi="Arial"/>
          <w:color w:val="1A1A1A"/>
          <w:sz w:val="22"/>
          <w:szCs w:val="22"/>
        </w:rPr>
        <w:t xml:space="preserve">Log in to Workday and click the Benefits worklet or search "Benefits."</w:t>
      </w:r>
    </w:p>
    <w:p>
      <w:pPr>
        <w:pStyle w:val="ListParagraph"/>
        <w:numPr>
          <w:ilvl w:val="0"/>
          <w:numId w:val="10"/>
        </w:numPr>
        <w:spacing w:before="60" w:after="60"/>
      </w:pPr>
      <w:r>
        <w:rPr>
          <w:rFonts w:ascii="Arial" w:cs="Arial" w:eastAsia="Arial" w:hAnsi="Arial"/>
          <w:color w:val="1A1A1A"/>
          <w:sz w:val="22"/>
          <w:szCs w:val="22"/>
        </w:rPr>
        <w:t xml:space="preserve">Click Benefit Elections to view your current enrollments.</w:t>
      </w:r>
    </w:p>
    <w:p>
      <w:pPr>
        <w:pStyle w:val="ListParagraph"/>
        <w:numPr>
          <w:ilvl w:val="0"/>
          <w:numId w:val="10"/>
        </w:numPr>
        <w:spacing w:before="60" w:after="60"/>
      </w:pPr>
      <w:r>
        <w:rPr>
          <w:rFonts w:ascii="Arial" w:cs="Arial" w:eastAsia="Arial" w:hAnsi="Arial"/>
          <w:color w:val="1A1A1A"/>
          <w:sz w:val="22"/>
          <w:szCs w:val="22"/>
        </w:rPr>
        <w:t xml:space="preserve">To make changes during Open Enrollment or after a qualifying life event, click Change Benefits or Open Enrollment (whichever is active).</w:t>
      </w:r>
    </w:p>
    <w:p>
      <w:pPr>
        <w:pStyle w:val="ListParagraph"/>
        <w:numPr>
          <w:ilvl w:val="0"/>
          <w:numId w:val="10"/>
        </w:numPr>
        <w:spacing w:before="60" w:after="60"/>
      </w:pPr>
      <w:r>
        <w:rPr>
          <w:rFonts w:ascii="Arial" w:cs="Arial" w:eastAsia="Arial" w:hAnsi="Arial"/>
          <w:color w:val="1A1A1A"/>
          <w:sz w:val="22"/>
          <w:szCs w:val="22"/>
        </w:rPr>
        <w:t xml:space="preserve">Select the benefit plan category you want to update (Health, Dental, Vision, Life Insurance, FSA/HSA, 401k, etc.).</w:t>
      </w:r>
    </w:p>
    <w:p>
      <w:pPr>
        <w:pStyle w:val="ListParagraph"/>
        <w:numPr>
          <w:ilvl w:val="0"/>
          <w:numId w:val="10"/>
        </w:numPr>
        <w:spacing w:before="60" w:after="60"/>
      </w:pPr>
      <w:r>
        <w:rPr>
          <w:rFonts w:ascii="Arial" w:cs="Arial" w:eastAsia="Arial" w:hAnsi="Arial"/>
          <w:color w:val="1A1A1A"/>
          <w:sz w:val="22"/>
          <w:szCs w:val="22"/>
        </w:rPr>
        <w:t xml:space="preserve">Review the plan options and select your preferred plan tier or coverage level.</w:t>
      </w:r>
    </w:p>
    <w:p>
      <w:pPr>
        <w:pStyle w:val="ListParagraph"/>
        <w:numPr>
          <w:ilvl w:val="0"/>
          <w:numId w:val="10"/>
        </w:numPr>
        <w:spacing w:before="60" w:after="60"/>
      </w:pPr>
      <w:r>
        <w:rPr>
          <w:rFonts w:ascii="Arial" w:cs="Arial" w:eastAsia="Arial" w:hAnsi="Arial"/>
          <w:color w:val="1A1A1A"/>
          <w:sz w:val="22"/>
          <w:szCs w:val="22"/>
        </w:rPr>
        <w:t xml:space="preserve">Add or update dependents as needed under the Dependents section.</w:t>
      </w:r>
    </w:p>
    <w:p>
      <w:pPr>
        <w:pStyle w:val="ListParagraph"/>
        <w:numPr>
          <w:ilvl w:val="0"/>
          <w:numId w:val="10"/>
        </w:numPr>
        <w:spacing w:before="60" w:after="60"/>
      </w:pPr>
      <w:r>
        <w:rPr>
          <w:rFonts w:ascii="Arial" w:cs="Arial" w:eastAsia="Arial" w:hAnsi="Arial"/>
          <w:color w:val="1A1A1A"/>
          <w:sz w:val="22"/>
          <w:szCs w:val="22"/>
        </w:rPr>
        <w:t xml:space="preserve">Review your elections and the cost per pay period summary.</w:t>
      </w:r>
    </w:p>
    <w:p>
      <w:pPr>
        <w:pStyle w:val="ListParagraph"/>
        <w:numPr>
          <w:ilvl w:val="0"/>
          <w:numId w:val="10"/>
        </w:numPr>
        <w:spacing w:before="60" w:after="60"/>
      </w:pPr>
      <w:r>
        <w:rPr>
          <w:rFonts w:ascii="Arial" w:cs="Arial" w:eastAsia="Arial" w:hAnsi="Arial"/>
          <w:color w:val="1A1A1A"/>
          <w:sz w:val="22"/>
          <w:szCs w:val="22"/>
        </w:rPr>
        <w:t xml:space="preserve">Click Submit to finalize. You will receive a confirmation with an enrollment summary.</w:t>
      </w:r>
    </w:p>
    <w:p>
      <w:pPr>
        <w:spacing w:before="100" w:after="0"/>
      </w:pPr>
      <w:r>
        <w:t xml:space="preserve"/>
      </w:r>
    </w:p>
    <w:p>
      <w:pPr>
        <w:spacing w:before="160" w:after="60"/>
      </w:pPr>
      <w:r>
        <w:rPr>
          <w:rFonts w:ascii="Arial" w:cs="Arial" w:eastAsia="Arial" w:hAnsi="Arial"/>
          <w:b/>
          <w:bCs/>
          <w:color w:val="2D6A4F"/>
          <w:sz w:val="22"/>
          <w:szCs w:val="22"/>
        </w:rPr>
        <w:t xml:space="preserve">Qualifying Life Events That Allow Mid-Year Changes:</w:t>
      </w:r>
    </w:p>
    <w:p>
      <w:pPr>
        <w:pStyle w:val="ListParagraph"/>
        <w:numPr>
          <w:ilvl w:val="0"/>
          <w:numId w:val="11"/>
        </w:numPr>
        <w:spacing w:before="40" w:after="40"/>
      </w:pPr>
      <w:r>
        <w:rPr>
          <w:rFonts w:ascii="Arial" w:cs="Arial" w:eastAsia="Arial" w:hAnsi="Arial"/>
          <w:color w:val="1A1A1A"/>
          <w:sz w:val="22"/>
          <w:szCs w:val="22"/>
        </w:rPr>
        <w:t xml:space="preserve">Marriage or domestic partnership</w:t>
      </w:r>
    </w:p>
    <w:p>
      <w:pPr>
        <w:pStyle w:val="ListParagraph"/>
        <w:numPr>
          <w:ilvl w:val="0"/>
          <w:numId w:val="11"/>
        </w:numPr>
        <w:spacing w:before="40" w:after="40"/>
      </w:pPr>
      <w:r>
        <w:rPr>
          <w:rFonts w:ascii="Arial" w:cs="Arial" w:eastAsia="Arial" w:hAnsi="Arial"/>
          <w:color w:val="1A1A1A"/>
          <w:sz w:val="22"/>
          <w:szCs w:val="22"/>
        </w:rPr>
        <w:t xml:space="preserve">Birth or adoption of a child</w:t>
      </w:r>
    </w:p>
    <w:p>
      <w:pPr>
        <w:pStyle w:val="ListParagraph"/>
        <w:numPr>
          <w:ilvl w:val="0"/>
          <w:numId w:val="11"/>
        </w:numPr>
        <w:spacing w:before="40" w:after="40"/>
      </w:pPr>
      <w:r>
        <w:rPr>
          <w:rFonts w:ascii="Arial" w:cs="Arial" w:eastAsia="Arial" w:hAnsi="Arial"/>
          <w:color w:val="1A1A1A"/>
          <w:sz w:val="22"/>
          <w:szCs w:val="22"/>
        </w:rPr>
        <w:t xml:space="preserve">Divorce or legal separation</w:t>
      </w:r>
    </w:p>
    <w:p>
      <w:pPr>
        <w:pStyle w:val="ListParagraph"/>
        <w:numPr>
          <w:ilvl w:val="0"/>
          <w:numId w:val="11"/>
        </w:numPr>
        <w:spacing w:before="40" w:after="40"/>
      </w:pPr>
      <w:r>
        <w:rPr>
          <w:rFonts w:ascii="Arial" w:cs="Arial" w:eastAsia="Arial" w:hAnsi="Arial"/>
          <w:color w:val="1A1A1A"/>
          <w:sz w:val="22"/>
          <w:szCs w:val="22"/>
        </w:rPr>
        <w:t xml:space="preserve">Loss of coverage through a spouse or parent's plan</w:t>
      </w:r>
    </w:p>
    <w:p>
      <w:pPr>
        <w:pStyle w:val="ListParagraph"/>
        <w:numPr>
          <w:ilvl w:val="0"/>
          <w:numId w:val="11"/>
        </w:numPr>
        <w:spacing w:before="40" w:after="40"/>
      </w:pPr>
      <w:r>
        <w:rPr>
          <w:rFonts w:ascii="Arial" w:cs="Arial" w:eastAsia="Arial" w:hAnsi="Arial"/>
          <w:color w:val="1A1A1A"/>
          <w:sz w:val="22"/>
          <w:szCs w:val="22"/>
        </w:rPr>
        <w:t xml:space="preserve">Move to a new coverage area (e.g., out of an HMO network)</w:t>
      </w:r>
    </w:p>
    <w:p>
      <w:pPr>
        <w:spacing w:before="1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52B788" w:sz="4"/>
              <w:left w:val="single" w:color="52B788" w:sz="4"/>
              <w:bottom w:val="single" w:color="52B788" w:sz="4"/>
              <w:right w:val="single" w:color="52B788" w:sz="4"/>
            </w:tcBorders>
            <w:shd w:fill="D8F3DC" w:val="clear"/>
            <w:tcMar>
              <w:top w:type="dxa" w:w="120"/>
              <w:left w:type="dxa" w:w="180"/>
              <w:bottom w:type="dxa" w:w="120"/>
              <w:right w:type="dxa" w:w="180"/>
            </w:tcMar>
          </w:tcPr>
          <w:p>
            <w:r>
              <w:rPr>
                <w:rFonts w:ascii="Arial" w:cs="Arial" w:eastAsia="Arial" w:hAnsi="Arial"/>
                <w:b/>
                <w:bCs/>
                <w:color w:val="2D6A4F"/>
                <w:sz w:val="20"/>
                <w:szCs w:val="20"/>
              </w:rPr>
              <w:t xml:space="preserve">💡 Pro Tip: </w:t>
            </w:r>
            <w:r>
              <w:rPr>
                <w:rFonts w:ascii="Arial" w:cs="Arial" w:eastAsia="Arial" w:hAnsi="Arial"/>
                <w:color w:val="1A1A1A"/>
                <w:sz w:val="20"/>
                <w:szCs w:val="20"/>
              </w:rPr>
              <w:t xml:space="preserve">Do not skip Open Enrollment assuming your benefits will auto-renew. Some plans — especially FSA accounts — require you to actively re-elect each year. Missing the window can leave you without coverage or without tax-advantaged savings.</w:t>
            </w:r>
          </w:p>
        </w:tc>
      </w:tr>
    </w:tbl>
    <w:p>
      <w:pPr>
        <w:spacing w:before="200" w:after="0"/>
      </w:pPr>
      <w:r>
        <w:t xml:space="preserve"/>
      </w:r>
    </w:p>
    <w:p>
      <w:pPr>
        <w:pBdr>
          <w:bottom w:val="single" w:color="CCCCCC" w:sz="4" w:space="1"/>
        </w:pBdr>
        <w:spacing w:before="200" w:after="200"/>
      </w:pPr>
      <w:r>
        <w:t xml:space="preserve"/>
      </w:r>
    </w:p>
    <w:p>
      <w:pPr>
        <w:pBdr>
          <w:bottom w:val="single" w:color="52B788" w:sz="8" w:space="4"/>
        </w:pBdr>
        <w:spacing w:before="360" w:after="120"/>
      </w:pPr>
      <w:r>
        <w:rPr>
          <w:rFonts w:ascii="Arial" w:cs="Arial" w:eastAsia="Arial" w:hAnsi="Arial"/>
          <w:b/>
          <w:bCs/>
          <w:color w:val="2D6A4F"/>
          <w:sz w:val="28"/>
          <w:szCs w:val="28"/>
        </w:rPr>
        <w:t xml:space="preserve">Final Thoughts from HR Adventures</w:t>
      </w:r>
    </w:p>
    <w:p>
      <w:pPr>
        <w:spacing w:before="100" w:after="0"/>
      </w:pPr>
      <w:r>
        <w:t xml:space="preserve"/>
      </w:r>
    </w:p>
    <w:p>
      <w:pPr>
        <w:spacing w:before="60" w:after="60"/>
      </w:pPr>
      <w:r>
        <w:rPr>
          <w:rFonts w:ascii="Arial" w:cs="Arial" w:eastAsia="Arial" w:hAnsi="Arial"/>
          <w:color w:val="1A1A1A"/>
          <w:sz w:val="22"/>
          <w:szCs w:val="22"/>
        </w:rPr>
        <w:t xml:space="preserve">Workday can feel like an open-world game with no tutorial — but now you have the map. These five actions cover the essentials: your time, your pay, your personal data, your money routing, and your benefits. Bookmark this guide, share it with a coworker who needs it, and remember — knowing the system is half the battle.</w:t>
      </w:r>
    </w:p>
    <w:p>
      <w:pPr>
        <w:spacing w:before="80" w:after="0"/>
      </w:pPr>
      <w:r>
        <w:t xml:space="preserve"/>
      </w:r>
    </w:p>
    <w:p>
      <w:pPr>
        <w:spacing w:before="60" w:after="60"/>
      </w:pPr>
      <w:r>
        <w:rPr>
          <w:rFonts w:ascii="Arial" w:cs="Arial" w:eastAsia="Arial" w:hAnsi="Arial"/>
          <w:color w:val="1A1A1A"/>
          <w:sz w:val="22"/>
          <w:szCs w:val="22"/>
        </w:rPr>
        <w:t xml:space="preserve">If your organization has customized Workday, some menu names or steps may look slightly different. When in doubt, reach out to your HR team — or come find us at HR Adventures, where we break down the complex stuff so you do not have to face it alone.</w:t>
      </w:r>
    </w:p>
    <w:p>
      <w:pPr>
        <w:spacing w:before="120" w:after="0"/>
      </w:pPr>
      <w:r>
        <w:t xml:space="preserve"/>
      </w:r>
    </w:p>
    <w:p>
      <w:pPr>
        <w:spacing w:before="160" w:after="0"/>
        <w:jc w:val="center"/>
      </w:pPr>
      <w:r>
        <w:rPr>
          <w:rFonts w:ascii="Arial" w:cs="Arial" w:eastAsia="Arial" w:hAnsi="Arial"/>
          <w:b/>
          <w:bCs/>
          <w:color w:val="2D6A4F"/>
          <w:sz w:val="22"/>
          <w:szCs w:val="22"/>
        </w:rPr>
        <w:t xml:space="preserve">HR Adventures | hradventures.com</w:t>
      </w:r>
    </w:p>
    <w:p>
      <w:pPr>
        <w:spacing w:before="40" w:after="0"/>
        <w:jc w:val="center"/>
      </w:pPr>
      <w:r>
        <w:rPr>
          <w:rFonts w:ascii="Arial" w:cs="Arial" w:eastAsia="Arial" w:hAnsi="Arial"/>
          <w:i/>
          <w:iCs/>
          <w:color w:val="888888"/>
          <w:sz w:val="20"/>
          <w:szCs w:val="20"/>
        </w:rPr>
        <w:t xml:space="preserve">Leveling Up the Workplace — One Resource at a Time</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52B788" w:sz="4" w:space="4"/>
      </w:pBdr>
      <w:spacing w:before="80"/>
      <w:jc w:val="center"/>
    </w:pPr>
    <w:r>
      <w:rPr>
        <w:rFonts w:ascii="Arial" w:cs="Arial" w:eastAsia="Arial" w:hAnsi="Arial"/>
        <w:color w:val="888888"/>
        <w:sz w:val="18"/>
        <w:szCs w:val="18"/>
      </w:rPr>
      <w:t xml:space="preserve">HR Adventures — Leveling Up the Workplace | Page </w:t>
    </w:r>
    <w:r>
      <w:rPr>
        <w:rFonts w:ascii="Arial" w:cs="Arial" w:eastAsia="Arial" w:hAnsi="Arial"/>
        <w:color w:val="888888"/>
        <w:sz w:val="18"/>
        <w:szCs w:val="18"/>
      </w:rP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52B788" w:sz="6" w:space="4"/>
      </w:pBdr>
      <w:spacing w:after="120"/>
      <w:jc w:val="right"/>
    </w:pPr>
    <w:r>
      <w:rPr>
        <w:rFonts w:ascii="Arial" w:cs="Arial" w:eastAsia="Arial" w:hAnsi="Arial"/>
        <w:color w:val="888888"/>
        <w:sz w:val="18"/>
        <w:szCs w:val="18"/>
      </w:rPr>
      <w:t xml:space="preserve">HR Adventures | Workday Quick Reference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bullet"/>
      <w:lvlText w:val="•"/>
      <w:lvlJc w:val="left"/>
      <w:pPr>
        <w:ind w:left="720" w:hanging="360"/>
      </w:pPr>
    </w:lvl>
  </w:abstractNum>
  <w:abstractNum w:abstractNumId="11"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7"/>
    <w:lvlOverride w:ilvl="0">
      <w:startOverride w:val="1"/>
    </w:lvlOverride>
  </w:num>
  <w:num w:numId="4">
    <w:abstractNumId w:val="3"/>
    <w:lvlOverride w:ilvl="0">
      <w:startOverride w:val="1"/>
    </w:lvlOverride>
  </w:num>
  <w:num w:numId="5">
    <w:abstractNumId w:val="8"/>
    <w:lvlOverride w:ilvl="0">
      <w:startOverride w:val="1"/>
    </w:lvlOverride>
  </w:num>
  <w:num w:numId="6">
    <w:abstractNumId w:val="4"/>
    <w:lvlOverride w:ilvl="0">
      <w:startOverride w:val="1"/>
    </w:lvlOverride>
  </w:num>
  <w:num w:numId="7">
    <w:abstractNumId w:val="9"/>
    <w:lvlOverride w:ilvl="0">
      <w:startOverride w:val="1"/>
    </w:lvlOverride>
  </w:num>
  <w:num w:numId="8">
    <w:abstractNumId w:val="5"/>
    <w:lvlOverride w:ilvl="0">
      <w:startOverride w:val="1"/>
    </w:lvlOverride>
  </w:num>
  <w:num w:numId="9">
    <w:abstractNumId w:val="10"/>
    <w:lvlOverride w:ilvl="0">
      <w:startOverride w:val="1"/>
    </w:lvlOverride>
  </w:num>
  <w:num w:numId="10">
    <w:abstractNumId w:val="6"/>
    <w:lvlOverride w:ilvl="0">
      <w:startOverride w:val="1"/>
    </w:lvlOverride>
  </w:num>
  <w:num w:numId="11">
    <w:abstractNumId w:val="1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11b0c6a4aa7b673d3dd9d5bf0a33562618d59e45.png"/><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2026-03-30T23:09:19.108Z</dcterms:created>
  <dcterms:modified xsi:type="dcterms:W3CDTF">2026-03-30T23:09:19.109Z</dcterms:modified>
</cp:coreProperties>
</file>

<file path=docProps/custom.xml><?xml version="1.0" encoding="utf-8"?>
<Properties xmlns="http://schemas.openxmlformats.org/officeDocument/2006/custom-properties" xmlns:vt="http://schemas.openxmlformats.org/officeDocument/2006/docPropsVTypes"/>
</file>